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B1FDD0" w14:textId="77777777" w:rsidR="00937D6A" w:rsidRPr="00937D6A" w:rsidRDefault="00937D6A" w:rsidP="00937D6A">
      <w:pPr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10380" w:type="dxa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3"/>
        <w:gridCol w:w="2389"/>
        <w:gridCol w:w="6658"/>
      </w:tblGrid>
      <w:tr w:rsidR="00937D6A" w:rsidRPr="00937D6A" w14:paraId="29F1BCCB" w14:textId="77777777" w:rsidTr="00937D6A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2262E304" w14:textId="77777777" w:rsidR="00937D6A" w:rsidRPr="00937D6A" w:rsidRDefault="00937D6A" w:rsidP="00937D6A">
            <w:pPr>
              <w:jc w:val="center"/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14:ligatures w14:val="none"/>
              </w:rPr>
              <w:t>Term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46ABCABF" w14:textId="77777777" w:rsidR="00937D6A" w:rsidRPr="00937D6A" w:rsidRDefault="00937D6A" w:rsidP="00937D6A">
            <w:pPr>
              <w:jc w:val="center"/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14:ligatures w14:val="none"/>
              </w:rPr>
              <w:t>Crossword Definition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478DE75D" w14:textId="77777777" w:rsidR="00937D6A" w:rsidRPr="00937D6A" w:rsidRDefault="00937D6A" w:rsidP="00937D6A">
            <w:pPr>
              <w:jc w:val="center"/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14:ligatures w14:val="none"/>
              </w:rPr>
              <w:t>Comprehensive Definition</w:t>
            </w:r>
          </w:p>
        </w:tc>
      </w:tr>
      <w:tr w:rsidR="00937D6A" w:rsidRPr="00937D6A" w14:paraId="54D0D88B" w14:textId="77777777" w:rsidTr="00937D6A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39E481B3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bdr w:val="single" w:sz="2" w:space="0" w:color="E3E3E3" w:frame="1"/>
                <w14:ligatures w14:val="none"/>
              </w:rPr>
              <w:t>HIPAA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0E509496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  <w:t>Health data protection law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4460E8D4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  <w:t>The Health Insurance Portability and Accountability Act (HIPAA) is a federal law enacted to safeguard the privacy and security of individuals' health information, establishing standards for its use and disclosure.</w:t>
            </w:r>
          </w:p>
        </w:tc>
      </w:tr>
      <w:tr w:rsidR="00937D6A" w:rsidRPr="00937D6A" w14:paraId="4AA7F4C1" w14:textId="77777777" w:rsidTr="00937D6A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6B1029EE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bdr w:val="single" w:sz="2" w:space="0" w:color="E3E3E3" w:frame="1"/>
                <w14:ligatures w14:val="none"/>
              </w:rPr>
              <w:t>FERPA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66257CB4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  <w:t>Student privacy law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472DFF4D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  <w:t>The Family Educational Rights and Privacy Act (FERPA) is a federal law protecting the privacy of students' educational records, regulating the access and disclosure of these records by educational institutions.</w:t>
            </w:r>
          </w:p>
        </w:tc>
      </w:tr>
      <w:tr w:rsidR="00937D6A" w:rsidRPr="00937D6A" w14:paraId="32D4CE95" w14:textId="77777777" w:rsidTr="00937D6A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28656A67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bdr w:val="single" w:sz="2" w:space="0" w:color="E3E3E3" w:frame="1"/>
                <w14:ligatures w14:val="none"/>
              </w:rPr>
              <w:t>PHI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55AFC689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  <w:t>Protected health information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53605CCC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  <w:t>Protected Health Information (PHI) refers to any information related to an individual's health condition, treatment, or payment for healthcare services, the disclosure of which is regulated by HIPAA.</w:t>
            </w:r>
          </w:p>
        </w:tc>
      </w:tr>
      <w:tr w:rsidR="00937D6A" w:rsidRPr="00937D6A" w14:paraId="465237F6" w14:textId="77777777" w:rsidTr="00937D6A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2906071E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bdr w:val="single" w:sz="2" w:space="0" w:color="E3E3E3" w:frame="1"/>
                <w14:ligatures w14:val="none"/>
              </w:rPr>
              <w:t>De-identified Data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674BCD55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  <w:t>Stripped of identifying details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62112200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  <w:t>De-identified data is health information from which specific identifiers have been removed, making it no longer personally identifiable, and is exempt from certain HIPAA privacy regulations.</w:t>
            </w:r>
          </w:p>
        </w:tc>
      </w:tr>
      <w:tr w:rsidR="00937D6A" w:rsidRPr="00937D6A" w14:paraId="173A6786" w14:textId="77777777" w:rsidTr="00937D6A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5B39A9AA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bdr w:val="single" w:sz="2" w:space="0" w:color="E3E3E3" w:frame="1"/>
                <w14:ligatures w14:val="none"/>
              </w:rPr>
              <w:t>Minimum Necessary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4E2EBBAB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  <w:t>Accessing only essential information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71E271F3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  <w:t>The Minimum Necessary Standard is a principle in HIPAA requiring entities to limit the use, disclosure, and request of PHI to the minimum necessary to achieve the intended purpose, based on job roles and responsibilities.</w:t>
            </w:r>
          </w:p>
        </w:tc>
      </w:tr>
      <w:tr w:rsidR="00937D6A" w:rsidRPr="00937D6A" w14:paraId="54C7C5ED" w14:textId="77777777" w:rsidTr="00937D6A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36A2370D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bdr w:val="single" w:sz="2" w:space="0" w:color="E3E3E3" w:frame="1"/>
                <w14:ligatures w14:val="none"/>
              </w:rPr>
              <w:t>BAA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0826D07B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  <w:t>Contract for third-party HIPAA compliance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5418C198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  <w:t>A Business Associate Agreement (BAA) is a contract between a covered entity and a business associate outlining responsibilities and ensuring HIPAA compliance when the business associate handles PHI on behalf of the covered entity.</w:t>
            </w:r>
          </w:p>
        </w:tc>
      </w:tr>
      <w:tr w:rsidR="00937D6A" w:rsidRPr="00937D6A" w14:paraId="1E36D7B1" w14:textId="77777777" w:rsidTr="00937D6A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0F00E98C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bdr w:val="single" w:sz="2" w:space="0" w:color="E3E3E3" w:frame="1"/>
                <w14:ligatures w14:val="none"/>
              </w:rPr>
              <w:t>EHR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310C482C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  <w:t>Digital patient charts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3F398F2F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  <w:t>Electronic Health Records (EHRs) are digital versions of patients' paper charts, containing information about their medical history, diagnoses, medications, treatment plans, immunization dates, allergies, radiology images, and laboratory test results.</w:t>
            </w:r>
          </w:p>
        </w:tc>
      </w:tr>
      <w:tr w:rsidR="00937D6A" w:rsidRPr="00937D6A" w14:paraId="2A5734B5" w14:textId="77777777" w:rsidTr="00937D6A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38FD5E12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bdr w:val="single" w:sz="2" w:space="0" w:color="E3E3E3" w:frame="1"/>
                <w14:ligatures w14:val="none"/>
              </w:rPr>
              <w:t>Breach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6B0E97ED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  <w:t>Unauthorized PHI disclosure or access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29E75290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  <w:t>A breach, in the context of HIPAA, is an impermissible use or disclosure of PHI that compromises its security, leading to the potential compromise of patient privacy.</w:t>
            </w:r>
          </w:p>
        </w:tc>
      </w:tr>
      <w:tr w:rsidR="00937D6A" w:rsidRPr="00937D6A" w14:paraId="589D046F" w14:textId="77777777" w:rsidTr="00937D6A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6E8DC7C9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bdr w:val="single" w:sz="2" w:space="0" w:color="E3E3E3" w:frame="1"/>
                <w14:ligatures w14:val="none"/>
              </w:rPr>
              <w:t>Phishing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50366786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  <w:t>Cyber-attack through deceptive emails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522E631C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  <w:t>Phishing is a cyber-attack where individuals are tricked into revealing sensitive information, such as login credentials or financial details, by posing as a trustworthy entity through deceptive emails or messages.</w:t>
            </w:r>
          </w:p>
        </w:tc>
      </w:tr>
      <w:tr w:rsidR="00937D6A" w:rsidRPr="00937D6A" w14:paraId="4C89F528" w14:textId="77777777" w:rsidTr="00937D6A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1ABFF94F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bdr w:val="single" w:sz="2" w:space="0" w:color="E3E3E3" w:frame="1"/>
                <w14:ligatures w14:val="none"/>
              </w:rPr>
              <w:t>Opt-Out Option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51CBFD27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  <w:t>Patient choice to decline marketing communications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19BB9684" w14:textId="77777777" w:rsidR="00937D6A" w:rsidRPr="00937D6A" w:rsidRDefault="00937D6A" w:rsidP="00937D6A">
            <w:pP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</w:pPr>
            <w:r w:rsidRPr="00937D6A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14:ligatures w14:val="none"/>
              </w:rPr>
              <w:t>The Opt-Out Option allows patients to decline participation in marketing communications, ensuring they have control over the use of their information for promotional purposes under HIPAA.</w:t>
            </w:r>
          </w:p>
        </w:tc>
      </w:tr>
    </w:tbl>
    <w:p w14:paraId="638EEA01" w14:textId="77777777" w:rsidR="00937D6A" w:rsidRPr="00937D6A" w:rsidRDefault="00937D6A" w:rsidP="00937D6A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/>
        <w:rPr>
          <w:rFonts w:ascii="Segoe UI" w:eastAsia="Times New Roman" w:hAnsi="Segoe UI" w:cs="Segoe UI"/>
          <w:color w:val="0D0D0D"/>
          <w:kern w:val="0"/>
          <w14:ligatures w14:val="none"/>
        </w:rPr>
      </w:pPr>
      <w:r w:rsidRPr="00937D6A">
        <w:rPr>
          <w:rFonts w:ascii="Segoe UI" w:eastAsia="Times New Roman" w:hAnsi="Segoe UI" w:cs="Segoe UI"/>
          <w:color w:val="0D0D0D"/>
          <w:kern w:val="0"/>
          <w14:ligatures w14:val="none"/>
        </w:rPr>
        <w:t>This glossary provides concise crossword-style definitions and comprehensive explanations of key terms related to HIPAA, FERPA, PHI, de-identified data, and other relevant concepts.</w:t>
      </w:r>
    </w:p>
    <w:p w14:paraId="61514E2D" w14:textId="56A1DC2D" w:rsidR="000466C0" w:rsidRDefault="000466C0"/>
    <w:sectPr w:rsidR="000466C0" w:rsidSect="001F5A6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5175AF" w14:textId="77777777" w:rsidR="001F5A63" w:rsidRDefault="001F5A63" w:rsidP="00DD4929">
      <w:r>
        <w:separator/>
      </w:r>
    </w:p>
  </w:endnote>
  <w:endnote w:type="continuationSeparator" w:id="0">
    <w:p w14:paraId="52596287" w14:textId="77777777" w:rsidR="001F5A63" w:rsidRDefault="001F5A63" w:rsidP="00DD4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2C201" w14:textId="77777777" w:rsidR="00DD4929" w:rsidRDefault="00DD492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78D33" w14:textId="77777777" w:rsidR="00DD4929" w:rsidRDefault="00DD49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7B502" w14:textId="77777777" w:rsidR="00DD4929" w:rsidRDefault="00DD49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8D6E40" w14:textId="77777777" w:rsidR="001F5A63" w:rsidRDefault="001F5A63" w:rsidP="00DD4929">
      <w:r>
        <w:separator/>
      </w:r>
    </w:p>
  </w:footnote>
  <w:footnote w:type="continuationSeparator" w:id="0">
    <w:p w14:paraId="5C4A5A05" w14:textId="77777777" w:rsidR="001F5A63" w:rsidRDefault="001F5A63" w:rsidP="00DD49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99D05" w14:textId="77777777" w:rsidR="00DD4929" w:rsidRDefault="00DD492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7332E2" w14:textId="4303EEC0" w:rsidR="00DD4929" w:rsidRPr="00DD4929" w:rsidRDefault="00DD4929" w:rsidP="00DD4929">
    <w:pPr>
      <w:pStyle w:val="Header"/>
      <w:jc w:val="center"/>
      <w:rPr>
        <w:b/>
        <w:bCs/>
      </w:rPr>
    </w:pPr>
    <w:r w:rsidRPr="00DD4929">
      <w:rPr>
        <w:b/>
        <w:bCs/>
      </w:rPr>
      <w:t>Force for Health Compliance Checklist for HIPAA Administrator</w:t>
    </w:r>
  </w:p>
  <w:p w14:paraId="3BE5C068" w14:textId="48BE8A09" w:rsidR="00DD4929" w:rsidRPr="00DD4929" w:rsidRDefault="00DD4929" w:rsidP="00DD4929">
    <w:pPr>
      <w:pStyle w:val="Header"/>
      <w:jc w:val="center"/>
      <w:rPr>
        <w:b/>
        <w:bCs/>
      </w:rPr>
    </w:pPr>
    <w:r w:rsidRPr="00DD4929">
      <w:rPr>
        <w:b/>
        <w:bCs/>
      </w:rPr>
      <w:t>Internal Use only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3A12EE" w14:textId="77777777" w:rsidR="00DD4929" w:rsidRDefault="00DD492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D6A"/>
    <w:rsid w:val="000466C0"/>
    <w:rsid w:val="001F5A63"/>
    <w:rsid w:val="00786708"/>
    <w:rsid w:val="007959E4"/>
    <w:rsid w:val="008E2E3A"/>
    <w:rsid w:val="00937D6A"/>
    <w:rsid w:val="00DD4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1A10C"/>
  <w15:chartTrackingRefBased/>
  <w15:docId w15:val="{6B34387F-22A6-AE49-A138-55EB7B6DB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37D6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37D6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DD492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4929"/>
  </w:style>
  <w:style w:type="paragraph" w:styleId="Footer">
    <w:name w:val="footer"/>
    <w:basedOn w:val="Normal"/>
    <w:link w:val="FooterChar"/>
    <w:uiPriority w:val="99"/>
    <w:unhideWhenUsed/>
    <w:rsid w:val="00DD492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49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886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412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Gillio, MD</dc:creator>
  <cp:keywords/>
  <dc:description/>
  <cp:lastModifiedBy>Robert Gillio, MD</cp:lastModifiedBy>
  <cp:revision>1</cp:revision>
  <dcterms:created xsi:type="dcterms:W3CDTF">2024-02-20T17:37:00Z</dcterms:created>
  <dcterms:modified xsi:type="dcterms:W3CDTF">2024-02-20T19:33:00Z</dcterms:modified>
</cp:coreProperties>
</file>